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Avis de confidentialité — Acme Inc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Dernière mise à jour: 2026-03-19</w:t>
      </w:r>
    </w:p>
    <w:p>
      <w:pPr>
        <w:ind w:left="720"/>
      </w:pPr>
      <w:r>
        <w:rPr>
          <w:i/>
          <w:color w:val="666666"/>
        </w:rPr>
        <w:t xml:space="preserve">Ceci est un avis de confidentialité simplifié. Pour la politique de confidentialité complète, consultez la [Privacy Policy](./PRIVACY_POLICY.md) (en anglais).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Ce que nous collectons</w:t>
      </w:r>
    </w:p>
    <w:p>
      <w:pPr>
        <w:pStyle w:val="ListParagraph"/>
        <w:numPr>
          <w:ilvl w:val="0"/>
          <w:numId w:val="1"/>
        </w:numPr>
      </w:pPr>
      <w:r>
        <w:t xml:space="preserve">Adresse e-mail et informations de compte lors de l’inscription ou de la connexion</w:t>
      </w:r>
    </w:p>
    <w:p>
      <w:pPr>
        <w:pStyle w:val="ListParagraph"/>
        <w:numPr>
          <w:ilvl w:val="0"/>
          <w:numId w:val="1"/>
        </w:numPr>
      </w:pPr>
      <w:r>
        <w:t xml:space="preserve">Informations de paiement pour les achats (traitées de manière sécurisée)</w:t>
      </w:r>
    </w:p>
    <w:p>
      <w:pPr>
        <w:pStyle w:val="ListParagraph"/>
        <w:numPr>
          <w:ilvl w:val="0"/>
          <w:numId w:val="1"/>
        </w:numPr>
      </w:pPr>
      <w:r>
        <w:t xml:space="preserve">Données d’utilisation (pages visitées, fonctionnalités utilisées)</w:t>
      </w:r>
    </w:p>
    <w:p>
      <w:pPr>
        <w:pStyle w:val="ListParagraph"/>
        <w:numPr>
          <w:ilvl w:val="0"/>
          <w:numId w:val="1"/>
        </w:numPr>
      </w:pPr>
      <w:r>
        <w:t xml:space="preserve">Contenu fourni aux fonctions IA (textes, fichiers)</w:t>
      </w:r>
    </w:p>
    <w:p>
      <w:pPr>
        <w:pStyle w:val="ListParagraph"/>
        <w:numPr>
          <w:ilvl w:val="0"/>
          <w:numId w:val="1"/>
        </w:numPr>
      </w:pPr>
      <w:r>
        <w:t xml:space="preserve">Informations techniques comme le type d’appareil et les rapports d’erreur</w:t>
      </w:r>
    </w:p>
    <w:p>
      <w:pPr>
        <w:pStyle w:val="ListParagraph"/>
        <w:numPr>
          <w:ilvl w:val="0"/>
          <w:numId w:val="1"/>
        </w:numPr>
      </w:pPr>
      <w:r>
        <w:t xml:space="preserve">Adresse e-mail pour les notifications de compte</w:t>
      </w:r>
    </w:p>
    <w:p>
      <w:pPr>
        <w:pStyle w:val="Heading2"/>
      </w:pPr>
      <w:r>
        <w:t>Pourquoi nous collectons vos données</w:t>
      </w:r>
    </w:p>
    <w:p>
      <w:pPr>
        <w:pStyle w:val="ListParagraph"/>
        <w:numPr>
          <w:ilvl w:val="0"/>
          <w:numId w:val="1"/>
        </w:numPr>
      </w:pPr>
      <w:r>
        <w:t xml:space="preserve">Fournir et exploiter notre service</w:t>
      </w:r>
    </w:p>
    <w:p>
      <w:pPr>
        <w:pStyle w:val="ListParagraph"/>
        <w:numPr>
          <w:ilvl w:val="0"/>
          <w:numId w:val="1"/>
        </w:numPr>
      </w:pPr>
      <w:r>
        <w:t xml:space="preserve">Traiter les paiements</w:t>
      </w:r>
    </w:p>
    <w:p>
      <w:pPr>
        <w:pStyle w:val="ListParagraph"/>
        <w:numPr>
          <w:ilvl w:val="0"/>
          <w:numId w:val="1"/>
        </w:numPr>
      </w:pPr>
      <w:r>
        <w:t xml:space="preserve">Comprendre les habitudes d’utilisation et améliorer le produit</w:t>
      </w:r>
    </w:p>
    <w:p>
      <w:pPr>
        <w:pStyle w:val="ListParagraph"/>
        <w:numPr>
          <w:ilvl w:val="0"/>
          <w:numId w:val="1"/>
        </w:numPr>
      </w:pPr>
      <w:r>
        <w:t xml:space="preserve">Fournir les fonctionnalités IA que vous utilisez</w:t>
      </w:r>
    </w:p>
    <w:p>
      <w:pPr>
        <w:pStyle w:val="ListParagraph"/>
        <w:numPr>
          <w:ilvl w:val="0"/>
          <w:numId w:val="1"/>
        </w:numPr>
      </w:pPr>
      <w:r>
        <w:t xml:space="preserve">Détecter et résoudre les problèmes techniques</w:t>
      </w:r>
    </w:p>
    <w:p>
      <w:pPr>
        <w:pStyle w:val="Heading2"/>
      </w:pPr>
      <w:r>
        <w:t>Avec qui nous partageons vos données</w:t>
      </w:r>
    </w:p>
    <w:p>
      <w:pPr>
        <w:pStyle w:val="ListParagraph"/>
        <w:numPr>
          <w:ilvl w:val="0"/>
          <w:numId w:val="1"/>
        </w:numPr>
      </w:pPr>
      <w:r>
        <w:t xml:space="preserve">Prestataires de services: @sentry/node, @supabase/supabase-js, openai, posthog, prisma +3</w:t>
      </w:r>
    </w:p>
    <w:p>
      <w:pPr>
        <w:pStyle w:val="ListParagraph"/>
        <w:numPr>
          <w:ilvl w:val="0"/>
          <w:numId w:val="1"/>
        </w:numPr>
      </w:pPr>
      <w:r>
        <w:t xml:space="preserve">Les autorités judiciaires, uniquement si la loi l’exige</w:t>
      </w:r>
    </w:p>
    <w:p>
      <w:r>
        <w:t xml:space="preserve">Nous ne vendons jamais vos données personnelles.</w:t>
      </w:r>
    </w:p>
    <w:p>
      <w:pPr>
        <w:pStyle w:val="Heading2"/>
      </w:pPr>
      <w:r>
        <w:t>Vos droits</w:t>
      </w:r>
    </w:p>
    <w:p>
      <w:pPr>
        <w:pStyle w:val="ListParagraph"/>
        <w:numPr>
          <w:ilvl w:val="0"/>
          <w:numId w:val="1"/>
        </w:numPr>
      </w:pPr>
      <w:r>
        <w:t xml:space="preserve">Demander l’accès à vos données</w:t>
      </w:r>
    </w:p>
    <w:p>
      <w:pPr>
        <w:pStyle w:val="ListParagraph"/>
        <w:numPr>
          <w:ilvl w:val="0"/>
          <w:numId w:val="1"/>
        </w:numPr>
      </w:pPr>
      <w:r>
        <w:t xml:space="preserve">Télécharger une copie de vos données</w:t>
      </w:r>
    </w:p>
    <w:p>
      <w:pPr>
        <w:pStyle w:val="ListParagraph"/>
        <w:numPr>
          <w:ilvl w:val="0"/>
          <w:numId w:val="1"/>
        </w:numPr>
      </w:pPr>
      <w:r>
        <w:t xml:space="preserve">Demander la suppression de vos données</w:t>
      </w:r>
    </w:p>
    <w:p>
      <w:pPr>
        <w:pStyle w:val="ListParagraph"/>
        <w:numPr>
          <w:ilvl w:val="0"/>
          <w:numId w:val="1"/>
        </w:numPr>
      </w:pPr>
      <w:r>
        <w:t xml:space="preserve">Vous opposer au traitement non essentiel</w:t>
      </w:r>
    </w:p>
    <w:p>
      <w:pPr>
        <w:pStyle w:val="ListParagraph"/>
        <w:numPr>
          <w:ilvl w:val="0"/>
          <w:numId w:val="1"/>
        </w:numPr>
      </w:pPr>
      <w:r>
        <w:t xml:space="preserve">Faire rectifier vos données</w:t>
      </w:r>
    </w:p>
    <w:p>
      <w:pPr>
        <w:pStyle w:val="Heading2"/>
      </w:pPr>
      <w:r>
        <w:t>Contact</w:t>
      </w:r>
    </w:p>
    <w:p>
      <w:r>
        <w:t xml:space="preserve">legal@acme.com</w:t>
      </w:r>
    </w:p>
    <w:p>
      <w:pPr>
        <w:pStyle w:val="Heading2"/>
      </w:pPr>
      <w:r>
        <w:t>En savoir plus</w:t>
      </w:r>
    </w:p>
    <w:p>
      <w:pPr>
        <w:pStyle w:val="ListParagraph"/>
        <w:numPr>
          <w:ilvl w:val="0"/>
          <w:numId w:val="1"/>
        </w:numPr>
      </w:pPr>
      <w:r>
        <w:t xml:space="preserve">[Privacy Policy](./PRIVACY_POLICY.md) — Politique de confidentialité complète (en anglais)</w:t>
      </w:r>
    </w:p>
    <w:p>
      <w:pPr>
        <w:pStyle w:val="ListParagraph"/>
        <w:numPr>
          <w:ilvl w:val="0"/>
          <w:numId w:val="1"/>
        </w:numPr>
      </w:pPr>
      <w:r>
        <w:t xml:space="preserve">[Terms of Service](./TERMS_OF_SERVICE.md)</w:t>
      </w:r>
    </w:p>
    <w:p>
      <w:pPr>
        <w:pStyle w:val="ListParagraph"/>
        <w:numPr>
          <w:ilvl w:val="0"/>
          <w:numId w:val="1"/>
        </w:numPr>
      </w:pPr>
      <w:r>
        <w:t xml:space="preserve">[Security Policy](./SECURITY.md)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**Avertissement:** Cet avis de confidentialité a été généré automatiquement par Codepliant à partir d’une analyse du code source. Il doit être vérifié par un conseiller juridique qualifié.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